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81" w:rsidRDefault="008106E9" w:rsidP="00C56A81"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Tájékoztató szülői felügyeleti jogról</w:t>
      </w:r>
      <w:r w:rsidR="00C56A8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C56A81" w:rsidRDefault="00C56A81" w:rsidP="00C56A81">
      <w:r>
        <w:rPr>
          <w:rFonts w:ascii="Times New Roman" w:hAnsi="Times New Roman" w:cs="Times New Roman"/>
          <w:sz w:val="24"/>
          <w:szCs w:val="24"/>
          <w:lang w:eastAsia="en-US"/>
        </w:rPr>
        <w:t> </w:t>
      </w:r>
    </w:p>
    <w:p w:rsidR="00C56A81" w:rsidRDefault="00C56A81" w:rsidP="00C56A81">
      <w:r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="008106E9">
        <w:rPr>
          <w:rFonts w:ascii="Times New Roman" w:hAnsi="Times New Roman" w:cs="Times New Roman"/>
          <w:sz w:val="24"/>
          <w:szCs w:val="24"/>
          <w:lang w:eastAsia="en-US"/>
        </w:rPr>
        <w:t>z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általános iskolai felvétel és beíratás kapcsán beérkezett kérdésekkel kapcsolatosan, az egységes intézményi eljárásrend érdekében, adott tárgyban</w:t>
      </w:r>
      <w:r w:rsidR="008106E9">
        <w:rPr>
          <w:rFonts w:ascii="Times New Roman" w:hAnsi="Times New Roman" w:cs="Times New Roman"/>
          <w:sz w:val="24"/>
          <w:szCs w:val="24"/>
          <w:lang w:eastAsia="en-US"/>
        </w:rPr>
        <w:t xml:space="preserve"> az alábbi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kiegészítő tájékoztatást fogalmaz</w:t>
      </w:r>
      <w:r w:rsidR="008106E9">
        <w:rPr>
          <w:rFonts w:ascii="Times New Roman" w:hAnsi="Times New Roman" w:cs="Times New Roman"/>
          <w:sz w:val="24"/>
          <w:szCs w:val="24"/>
          <w:lang w:eastAsia="en-US"/>
        </w:rPr>
        <w:t>zu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k meg. </w:t>
      </w:r>
      <w:bookmarkStart w:id="0" w:name="_GoBack"/>
      <w:bookmarkEnd w:id="0"/>
    </w:p>
    <w:p w:rsidR="00C56A81" w:rsidRDefault="00C56A81" w:rsidP="00C56A81">
      <w:r>
        <w:rPr>
          <w:rFonts w:ascii="Times New Roman" w:hAnsi="Times New Roman" w:cs="Times New Roman"/>
          <w:sz w:val="24"/>
          <w:szCs w:val="24"/>
          <w:lang w:eastAsia="en-US"/>
        </w:rPr>
        <w:t> </w:t>
      </w:r>
    </w:p>
    <w:p w:rsidR="00C56A81" w:rsidRDefault="00C56A81" w:rsidP="00C56A81">
      <w:r>
        <w:rPr>
          <w:rFonts w:ascii="Times New Roman" w:hAnsi="Times New Roman" w:cs="Times New Roman"/>
          <w:sz w:val="24"/>
          <w:szCs w:val="24"/>
          <w:lang w:eastAsia="en-US"/>
        </w:rPr>
        <w:t>A beiratkozáshoz alkalmazott nyilatkozatminták kapcsán, 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NYILATKOZAT - A gyermek törvényes képviseletéről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” elnevezésűvel kapcsolatosan jelezzük, hogy a szülői felügyeleti jog gyakorlása több szinten is értelmezhető, ezért fontos rögzíteni, hogy az egyik szülő kizárólagos szülői felügyeleti joga nem jelenti azt, hogy az iskolaválasztás (beíratás/beiratkozás) vonatkozásában a másik szülő nem gyakorolhat adott esetben szülői felügyeleti jogot. </w:t>
      </w:r>
    </w:p>
    <w:p w:rsidR="00C56A81" w:rsidRDefault="00C56A81" w:rsidP="00C56A81">
      <w:pPr>
        <w:spacing w:before="120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A nyilatkozat jelenlegi formájában a gyermek törvényes képviseletének igazolásáról szól, nem a tanulmányokról való tájékoztatási kötelezettségről a szülők között (ugyanakkor ennek lehetőségét nem is zárja ki).  A 2013. évi V. törvény a Polgári Törvénykönyvről (Ptk.) fenntartja, hogy a szülői felügyeletet gyakorló szülők képviselik gyermeküket személyi és vagyoni ügyekben. A gyermek személyi ügyeiben az együtt élő szülők együtt járnak el, és hasonlóképpen mindkét szülőt megilleti a gyermek személyi ügyeiben való törvényes képviselet joga, ha már különélőkként közös szülői felügyeletet gyakorolnak. Egyébként az a szülő jár el, aki a szülői felügyeletet gyakorolja. A Ptk. 4:175. § (1) bekezdése kimondja, hogy a különélő szülők a gyermek sorsát érintő lényeges kérdésekben közösen gyakorolják jogaikat akkor is, ha a szülői felügyeletet a szülők megállapodása vagy a bíróság döntése alapján az egyik szülő gyakorolja, kivéve, ha a gyermekétől különélő szülő felügyeleti jogát a bíróság e tekintetben korlátozta vagy megvonta. A Ptk. 4:175. § (2) bekezdése határozza meg, hogy 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mi minősül a gyermek sorsát érintő lényeges kérdésnek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vagyis többek között 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a kiskorú gyermek iskolájának, életpályájának megválasztása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(Az életpálya kijelölése azon kérdések egyike, amelyben a szülők még - főszabályként - akkor is közösen döntenek, ha egyébként a szülői felügyeletet nem közösen gyakorolják. Ha a szülők között vita van, a gyámhatóság dönt, nem a beiratkozásban érintett köznevelési intézmény.) A Ptk. 4:174. §-a mondja ki, a gyermekkel együtt élő szülő tájékoztatási kötelezettségét, vagyis a szülői felügyeletet gyakorló szülőnek a gyermek fejlődéséről, egészségi állapotáról, tanulmányairól a különélő szülőt megfelelő időközönként tájékoztatnia kell, és a különélő szülő érdeklődése esetén a gyermekkel kapcsolatos felvilágosítást meg kell adnia. </w:t>
      </w:r>
    </w:p>
    <w:p w:rsidR="00C56A81" w:rsidRDefault="00C56A81" w:rsidP="00C56A81">
      <w:r>
        <w:rPr>
          <w:rFonts w:ascii="Times New Roman" w:hAnsi="Times New Roman" w:cs="Times New Roman"/>
          <w:sz w:val="24"/>
          <w:szCs w:val="24"/>
          <w:lang w:eastAsia="en-US"/>
        </w:rPr>
        <w:t> </w:t>
      </w:r>
    </w:p>
    <w:p w:rsidR="00C56A81" w:rsidRDefault="00C56A81" w:rsidP="00C56A81">
      <w:r>
        <w:rPr>
          <w:rFonts w:ascii="Times New Roman" w:hAnsi="Times New Roman" w:cs="Times New Roman"/>
          <w:sz w:val="24"/>
          <w:szCs w:val="24"/>
          <w:lang w:eastAsia="en-US"/>
        </w:rPr>
        <w:t>Ezzel kapcsolatosan jelezzük, hogy a beiratkozás folyamatában gyakran használt „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törvényes képviselő</w:t>
      </w:r>
      <w:r>
        <w:rPr>
          <w:rFonts w:ascii="Times New Roman" w:hAnsi="Times New Roman" w:cs="Times New Roman"/>
          <w:sz w:val="24"/>
          <w:szCs w:val="24"/>
          <w:lang w:eastAsia="en-US"/>
        </w:rPr>
        <w:t>” fogalma összefoglaló jogi elnevezés. Törvényes képviselő lehet:</w:t>
      </w:r>
    </w:p>
    <w:p w:rsidR="00C56A81" w:rsidRDefault="00C56A81" w:rsidP="00C56A81">
      <w:pPr>
        <w:numPr>
          <w:ilvl w:val="0"/>
          <w:numId w:val="1"/>
        </w:numPr>
        <w:ind w:left="405"/>
      </w:pPr>
      <w:r>
        <w:rPr>
          <w:rFonts w:ascii="Times New Roman" w:hAnsi="Times New Roman" w:cs="Times New Roman"/>
          <w:sz w:val="24"/>
          <w:szCs w:val="24"/>
          <w:lang w:eastAsia="en-US"/>
        </w:rPr>
        <w:t>a szülői felügyeletet együttesen gyakorló mindkét szülő,</w:t>
      </w:r>
    </w:p>
    <w:p w:rsidR="00C56A81" w:rsidRDefault="00C56A81" w:rsidP="00C56A81">
      <w:pPr>
        <w:numPr>
          <w:ilvl w:val="0"/>
          <w:numId w:val="1"/>
        </w:numPr>
        <w:ind w:left="405"/>
      </w:pPr>
      <w:r>
        <w:rPr>
          <w:rFonts w:ascii="Times New Roman" w:hAnsi="Times New Roman" w:cs="Times New Roman"/>
          <w:sz w:val="24"/>
          <w:szCs w:val="24"/>
          <w:lang w:eastAsia="en-US"/>
        </w:rPr>
        <w:t>a szülői felügyeletet egyedül gyakorló egyik szülő,</w:t>
      </w:r>
    </w:p>
    <w:p w:rsidR="00C56A81" w:rsidRDefault="00C56A81" w:rsidP="00C56A81">
      <w:pPr>
        <w:numPr>
          <w:ilvl w:val="0"/>
          <w:numId w:val="1"/>
        </w:numPr>
        <w:ind w:left="405"/>
      </w:pPr>
      <w:r>
        <w:rPr>
          <w:rFonts w:ascii="Times New Roman" w:hAnsi="Times New Roman" w:cs="Times New Roman"/>
          <w:sz w:val="24"/>
          <w:szCs w:val="24"/>
          <w:lang w:eastAsia="en-US"/>
        </w:rPr>
        <w:t>a gyám és a gondnok is.</w:t>
      </w:r>
    </w:p>
    <w:p w:rsidR="00C56A81" w:rsidRDefault="00C56A81" w:rsidP="00C56A81">
      <w:r>
        <w:rPr>
          <w:rFonts w:ascii="Times New Roman" w:hAnsi="Times New Roman" w:cs="Times New Roman"/>
          <w:sz w:val="24"/>
          <w:szCs w:val="24"/>
          <w:lang w:eastAsia="en-US"/>
        </w:rPr>
        <w:t> </w:t>
      </w:r>
    </w:p>
    <w:p w:rsidR="00C56A81" w:rsidRDefault="00C56A81" w:rsidP="00C56A81">
      <w:r>
        <w:rPr>
          <w:rFonts w:ascii="Times New Roman" w:hAnsi="Times New Roman" w:cs="Times New Roman"/>
          <w:sz w:val="24"/>
          <w:szCs w:val="24"/>
          <w:lang w:eastAsia="en-US"/>
        </w:rPr>
        <w:t xml:space="preserve">A Ptk. 2:14. § (1) bekezdése kimondja, hogy a cselekvőképtelen kiskorú jognyilatkozata semmis; 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nevében a törvényes képviselő jár el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A Ptk. 4:146. § (1) bekezdése szerint a kiskorú gyermek szülői felügyelet vagy gyámság alatt áll, vagyis a szülői felügyeletet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gyakorló(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k) vagy gyám gondoskodik a gyermekről, teljesíti a vele kapcsolatos kötelezettségeket, valamint él az ebből eredő jogokkal. Ezekre való tekintettel indokoltnak tekinthető a „törvényes képviselő” kifejezés használata a dokumentumokban. </w:t>
      </w:r>
      <w:r>
        <w:rPr>
          <w:rFonts w:ascii="Times New Roman" w:hAnsi="Times New Roman" w:cs="Times New Roman"/>
          <w:sz w:val="24"/>
          <w:szCs w:val="24"/>
        </w:rPr>
        <w:t xml:space="preserve">A fent említett dokumentum, mivel a KRÉTA rendszerből generált dokumentum, amely papír alapon kinyomtatásra és aláírásra is kerülhet, ezért ez esetben javasoljuk a nyilatkozat szülő/törvényes képviselő és tanúk általi együttes aláírását. </w:t>
      </w:r>
      <w:r>
        <w:rPr>
          <w:rFonts w:ascii="Times New Roman" w:hAnsi="Times New Roman" w:cs="Times New Roman"/>
          <w:sz w:val="24"/>
          <w:szCs w:val="24"/>
          <w:lang w:eastAsia="en-US"/>
        </w:rPr>
        <w:t> </w:t>
      </w:r>
    </w:p>
    <w:p w:rsidR="00A03ACD" w:rsidRDefault="00A03ACD"/>
    <w:sectPr w:rsidR="00A03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8452F"/>
    <w:multiLevelType w:val="multilevel"/>
    <w:tmpl w:val="C7CC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81"/>
    <w:rsid w:val="008106E9"/>
    <w:rsid w:val="00A03ACD"/>
    <w:rsid w:val="00C5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846F"/>
  <w15:chartTrackingRefBased/>
  <w15:docId w15:val="{9F74D807-2269-4E67-A440-ADCA2D6D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6A81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454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Villand József</dc:creator>
  <cp:keywords/>
  <dc:description/>
  <cp:lastModifiedBy>Villand József</cp:lastModifiedBy>
  <cp:revision>2</cp:revision>
  <dcterms:created xsi:type="dcterms:W3CDTF">2024-03-20T08:44:00Z</dcterms:created>
  <dcterms:modified xsi:type="dcterms:W3CDTF">2024-03-20T11:27:00Z</dcterms:modified>
</cp:coreProperties>
</file>